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69" w:rsidRPr="00755F69" w:rsidRDefault="00755F69" w:rsidP="00755F69">
      <w:pPr>
        <w:jc w:val="center"/>
        <w:rPr>
          <w:b/>
          <w:sz w:val="40"/>
          <w:szCs w:val="40"/>
        </w:rPr>
      </w:pPr>
      <w:r w:rsidRPr="00755F69">
        <w:rPr>
          <w:b/>
          <w:sz w:val="40"/>
          <w:szCs w:val="40"/>
        </w:rPr>
        <w:t>La questione delle fonti della Divina Commedia</w:t>
      </w:r>
    </w:p>
    <w:p w:rsidR="00755F69" w:rsidRDefault="00755F69" w:rsidP="00755F69"/>
    <w:p w:rsidR="00755F69" w:rsidRPr="00755F69" w:rsidRDefault="00755F69" w:rsidP="00755F69">
      <w:pPr>
        <w:rPr>
          <w:sz w:val="28"/>
          <w:szCs w:val="28"/>
        </w:rPr>
      </w:pPr>
      <w:r w:rsidRPr="00755F69">
        <w:rPr>
          <w:sz w:val="28"/>
          <w:szCs w:val="28"/>
        </w:rPr>
        <w:t xml:space="preserve">Dante cita assai raramente le proprie fonti e all’inizio del poema Io non Enea, io non San Paulo, Inferno III, 32) si limita ad associare alla propria esperienza soltanto due esempi: la discesa di Enea all’Averno ( ricavate dal </w:t>
      </w:r>
      <w:proofErr w:type="spellStart"/>
      <w:r w:rsidRPr="00755F69">
        <w:rPr>
          <w:sz w:val="28"/>
          <w:szCs w:val="28"/>
        </w:rPr>
        <w:t>VI</w:t>
      </w:r>
      <w:proofErr w:type="spellEnd"/>
      <w:r w:rsidRPr="00755F69">
        <w:rPr>
          <w:sz w:val="28"/>
          <w:szCs w:val="28"/>
        </w:rPr>
        <w:t xml:space="preserve"> libro dell’Eneide di Virgilio e da quella della Seconda Lettera di san Paolo ai Corinzi). Certamente, dal momento che la Commedia è la narrazione di un viaggio nell’Oltretomba, confluiscono in essa diverse tradizioni, che nel complesso costituiscono la base culturale della Divina Commedia stessa: la discesa agli Inferi (catabasi), tema già trattato nell’età classica; e il viaggio inteso come ricerca (</w:t>
      </w:r>
      <w:proofErr w:type="spellStart"/>
      <w:r w:rsidRPr="00755F69">
        <w:rPr>
          <w:sz w:val="28"/>
          <w:szCs w:val="28"/>
        </w:rPr>
        <w:t>que^te</w:t>
      </w:r>
      <w:proofErr w:type="spellEnd"/>
      <w:r w:rsidRPr="00755F69">
        <w:rPr>
          <w:sz w:val="28"/>
          <w:szCs w:val="28"/>
        </w:rPr>
        <w:t xml:space="preserve">) interiore, come quella del Santo Graal, che nel ciclo brètone anima i cavalieri della Tavola Rotonda; le descrizioni dell’Oltretomba presenti nella letteratura religiosa e nelle arti figurative del Duecento, le profezie sul destino ultimo dell’umanità e sulla fine dei tempi, tipiche dei movimenti penitenziali e millenaristici (come quello di Gioacchino da Fiore). Tra gli antecedenti della Commedia vanno ricordati il </w:t>
      </w:r>
      <w:proofErr w:type="spellStart"/>
      <w:r w:rsidRPr="00755F69">
        <w:rPr>
          <w:sz w:val="28"/>
          <w:szCs w:val="28"/>
        </w:rPr>
        <w:t>Sommnium</w:t>
      </w:r>
      <w:proofErr w:type="spellEnd"/>
      <w:r w:rsidRPr="00755F69">
        <w:rPr>
          <w:sz w:val="28"/>
          <w:szCs w:val="28"/>
        </w:rPr>
        <w:t xml:space="preserve"> </w:t>
      </w:r>
      <w:proofErr w:type="spellStart"/>
      <w:r w:rsidRPr="00755F69">
        <w:rPr>
          <w:sz w:val="28"/>
          <w:szCs w:val="28"/>
        </w:rPr>
        <w:t>Scipionis</w:t>
      </w:r>
      <w:proofErr w:type="spellEnd"/>
      <w:r w:rsidRPr="00755F69">
        <w:rPr>
          <w:sz w:val="28"/>
          <w:szCs w:val="28"/>
        </w:rPr>
        <w:t xml:space="preserve"> di Cicerone, i viaggi nell’Averno narrati nelle Metamorfosi di Ovidio e, soprattutto, l’Apocalisse di San Giovanni. Una forte suggestione era data, senz’altro, anche dal mito di Orfeo (cantato da Virgilio nell’Eneide e in altre sue opere, da Ovidio nelle Metamorfosi, come detto, e da Orazio nell’Ars Poetica), il cantore che, con il suo linguaggio creativo e profetico, si pone come intermediario tra l’umano e il divino. A questo va aggiunta l’influenza religiosa, attraverso alcuni testi apocrifi (in particolare la Visione di San Paolo, anzi le due Apocalisse di San Paolo e di </w:t>
      </w:r>
      <w:proofErr w:type="spellStart"/>
      <w:r w:rsidRPr="00755F69">
        <w:rPr>
          <w:sz w:val="28"/>
          <w:szCs w:val="28"/>
        </w:rPr>
        <w:t>Enoc</w:t>
      </w:r>
      <w:proofErr w:type="spellEnd"/>
      <w:r w:rsidRPr="00755F69">
        <w:rPr>
          <w:sz w:val="28"/>
          <w:szCs w:val="28"/>
        </w:rPr>
        <w:t xml:space="preserve"> – di quest’ultimo sia quella ebraica che quella di ambiente cristiano) e le leggende come la Legenda Aurea di Jacopo da </w:t>
      </w:r>
      <w:proofErr w:type="spellStart"/>
      <w:r w:rsidRPr="00755F69">
        <w:rPr>
          <w:sz w:val="28"/>
          <w:szCs w:val="28"/>
        </w:rPr>
        <w:t>Varagine</w:t>
      </w:r>
      <w:proofErr w:type="spellEnd"/>
      <w:r w:rsidRPr="00755F69">
        <w:rPr>
          <w:sz w:val="28"/>
          <w:szCs w:val="28"/>
        </w:rPr>
        <w:t xml:space="preserve"> (Jacopo da Varazze) in cui è narrata, fra l’altro, la discesa di Cristo agli Inferi, tema molto popolare nel Medioevo. Assai diffusi, inoltre i racconti di origine irlandese, come la Navigazione di san </w:t>
      </w:r>
      <w:proofErr w:type="spellStart"/>
      <w:r w:rsidRPr="00755F69">
        <w:rPr>
          <w:sz w:val="28"/>
          <w:szCs w:val="28"/>
        </w:rPr>
        <w:t>Brandano</w:t>
      </w:r>
      <w:proofErr w:type="spellEnd"/>
      <w:r w:rsidRPr="00755F69">
        <w:rPr>
          <w:sz w:val="28"/>
          <w:szCs w:val="28"/>
        </w:rPr>
        <w:t xml:space="preserve"> e la Leggenda del Purgatorio di San Patrizio, oltre al filone di altre Visioni ultramondane, come quelle di </w:t>
      </w:r>
      <w:proofErr w:type="spellStart"/>
      <w:r w:rsidRPr="00755F69">
        <w:rPr>
          <w:sz w:val="28"/>
          <w:szCs w:val="28"/>
        </w:rPr>
        <w:t>Ansello</w:t>
      </w:r>
      <w:proofErr w:type="spellEnd"/>
      <w:r w:rsidRPr="00755F69">
        <w:rPr>
          <w:sz w:val="28"/>
          <w:szCs w:val="28"/>
        </w:rPr>
        <w:t xml:space="preserve">, di </w:t>
      </w:r>
      <w:proofErr w:type="spellStart"/>
      <w:r w:rsidRPr="00755F69">
        <w:rPr>
          <w:sz w:val="28"/>
          <w:szCs w:val="28"/>
        </w:rPr>
        <w:t>Eynsham</w:t>
      </w:r>
      <w:proofErr w:type="spellEnd"/>
      <w:r w:rsidRPr="00755F69">
        <w:rPr>
          <w:sz w:val="28"/>
          <w:szCs w:val="28"/>
        </w:rPr>
        <w:t xml:space="preserve"> e di </w:t>
      </w:r>
      <w:proofErr w:type="spellStart"/>
      <w:r w:rsidRPr="00755F69">
        <w:rPr>
          <w:sz w:val="28"/>
          <w:szCs w:val="28"/>
        </w:rPr>
        <w:t>Tundalo</w:t>
      </w:r>
      <w:proofErr w:type="spellEnd"/>
      <w:r w:rsidRPr="00755F69">
        <w:rPr>
          <w:sz w:val="28"/>
          <w:szCs w:val="28"/>
        </w:rPr>
        <w:t xml:space="preserve">. Tuttora aperto, ma vivo e sicuramente fondato su considerazioni attendibili (Maria Corti, Enzo </w:t>
      </w:r>
      <w:proofErr w:type="spellStart"/>
      <w:r w:rsidRPr="00755F69">
        <w:rPr>
          <w:sz w:val="28"/>
          <w:szCs w:val="28"/>
        </w:rPr>
        <w:t>Cerulli</w:t>
      </w:r>
      <w:proofErr w:type="spellEnd"/>
      <w:r w:rsidRPr="00755F69">
        <w:rPr>
          <w:sz w:val="28"/>
          <w:szCs w:val="28"/>
        </w:rPr>
        <w:t xml:space="preserve">) è il dibattito sulla conoscenza, da parte di Dante, di opere appartenenti alla civiltà musulmana, quali il </w:t>
      </w:r>
      <w:proofErr w:type="spellStart"/>
      <w:r w:rsidRPr="00755F69">
        <w:rPr>
          <w:sz w:val="28"/>
          <w:szCs w:val="28"/>
        </w:rPr>
        <w:t>Liber</w:t>
      </w:r>
      <w:proofErr w:type="spellEnd"/>
      <w:r w:rsidRPr="00755F69">
        <w:rPr>
          <w:sz w:val="28"/>
          <w:szCs w:val="28"/>
        </w:rPr>
        <w:t xml:space="preserve"> </w:t>
      </w:r>
      <w:proofErr w:type="spellStart"/>
      <w:r w:rsidRPr="00755F69">
        <w:rPr>
          <w:sz w:val="28"/>
          <w:szCs w:val="28"/>
        </w:rPr>
        <w:t>Scalae</w:t>
      </w:r>
      <w:proofErr w:type="spellEnd"/>
      <w:r w:rsidRPr="00755F69">
        <w:rPr>
          <w:sz w:val="28"/>
          <w:szCs w:val="28"/>
        </w:rPr>
        <w:t xml:space="preserve"> (il Libro della Scala o Viaggio Notturno del Profeta Maometto), che racconta dell’ascesa al cielo di Maometto, tradotto dall’arabo in spagnolo e quindi volgarizzato in francese e appunto in latino.  Interessanti anche i riferimenti all’escatologia, alla mistica e alla costruzione ultraterrena ebraica. Più vicini a Dante sono i poemetti in volgare della seconda metà del XIII secolo. Tra questi spiccano il De </w:t>
      </w:r>
      <w:proofErr w:type="spellStart"/>
      <w:r w:rsidRPr="00755F69">
        <w:rPr>
          <w:sz w:val="28"/>
          <w:szCs w:val="28"/>
        </w:rPr>
        <w:t>Ierusalem</w:t>
      </w:r>
      <w:proofErr w:type="spellEnd"/>
      <w:r w:rsidRPr="00755F69">
        <w:rPr>
          <w:sz w:val="28"/>
          <w:szCs w:val="28"/>
        </w:rPr>
        <w:t xml:space="preserve"> </w:t>
      </w:r>
      <w:proofErr w:type="spellStart"/>
      <w:r w:rsidRPr="00755F69">
        <w:rPr>
          <w:sz w:val="28"/>
          <w:szCs w:val="28"/>
        </w:rPr>
        <w:t>Coelesti</w:t>
      </w:r>
      <w:proofErr w:type="spellEnd"/>
      <w:r w:rsidRPr="00755F69">
        <w:rPr>
          <w:sz w:val="28"/>
          <w:szCs w:val="28"/>
        </w:rPr>
        <w:t xml:space="preserve"> (la Gerusalemme Celeste) e il De Babilonia </w:t>
      </w:r>
      <w:proofErr w:type="spellStart"/>
      <w:r w:rsidRPr="00755F69">
        <w:rPr>
          <w:sz w:val="28"/>
          <w:szCs w:val="28"/>
        </w:rPr>
        <w:t>civitade</w:t>
      </w:r>
      <w:proofErr w:type="spellEnd"/>
      <w:r w:rsidRPr="00755F69">
        <w:rPr>
          <w:sz w:val="28"/>
          <w:szCs w:val="28"/>
        </w:rPr>
        <w:t xml:space="preserve"> infernali (la Babilonia infernale) di </w:t>
      </w:r>
      <w:proofErr w:type="spellStart"/>
      <w:r w:rsidRPr="00755F69">
        <w:rPr>
          <w:sz w:val="28"/>
          <w:szCs w:val="28"/>
        </w:rPr>
        <w:t>Giacomino</w:t>
      </w:r>
      <w:proofErr w:type="spellEnd"/>
      <w:r w:rsidRPr="00755F69">
        <w:rPr>
          <w:sz w:val="28"/>
          <w:szCs w:val="28"/>
        </w:rPr>
        <w:t xml:space="preserve"> da Verona, il Libro dei vizi e delle </w:t>
      </w:r>
      <w:proofErr w:type="spellStart"/>
      <w:r w:rsidRPr="00755F69">
        <w:rPr>
          <w:sz w:val="28"/>
          <w:szCs w:val="28"/>
        </w:rPr>
        <w:t>virtudi</w:t>
      </w:r>
      <w:proofErr w:type="spellEnd"/>
      <w:r w:rsidRPr="00755F69">
        <w:rPr>
          <w:sz w:val="28"/>
          <w:szCs w:val="28"/>
        </w:rPr>
        <w:t xml:space="preserve"> di Bono </w:t>
      </w:r>
      <w:proofErr w:type="spellStart"/>
      <w:r w:rsidRPr="00755F69">
        <w:rPr>
          <w:sz w:val="28"/>
          <w:szCs w:val="28"/>
        </w:rPr>
        <w:t>Giamboni</w:t>
      </w:r>
      <w:proofErr w:type="spellEnd"/>
      <w:r w:rsidRPr="00755F69">
        <w:rPr>
          <w:sz w:val="28"/>
          <w:szCs w:val="28"/>
        </w:rPr>
        <w:t xml:space="preserve"> e il Libro delle tre scritture di </w:t>
      </w:r>
      <w:proofErr w:type="spellStart"/>
      <w:r w:rsidRPr="00755F69">
        <w:rPr>
          <w:sz w:val="28"/>
          <w:szCs w:val="28"/>
        </w:rPr>
        <w:t>Bonvesin</w:t>
      </w:r>
      <w:proofErr w:type="spellEnd"/>
      <w:r w:rsidRPr="00755F69">
        <w:rPr>
          <w:sz w:val="28"/>
          <w:szCs w:val="28"/>
        </w:rPr>
        <w:t xml:space="preserve"> de la Riva. Tutte queste composizioni rivelano somiglianze e analogie più o meno profonde con la Commedia dantesca, che se ne distacca, peraltro, sia per il valore artistico e creativo, che per la vastità dottrinale e per il rigoroso impianto strutturale. Sulle fonti non tradizionali della Divina Commedia, rinvio alle mie note sul web dedicate alle fonti islamiche ed ebraiche della Commedia.</w:t>
      </w:r>
    </w:p>
    <w:p w:rsidR="00755F69" w:rsidRPr="00755F69" w:rsidRDefault="00755F69" w:rsidP="00755F69">
      <w:pPr>
        <w:rPr>
          <w:sz w:val="28"/>
          <w:szCs w:val="28"/>
        </w:rPr>
      </w:pPr>
      <w:r w:rsidRPr="00755F69">
        <w:rPr>
          <w:sz w:val="28"/>
          <w:szCs w:val="28"/>
        </w:rPr>
        <w:t>Casalino Pierluigi </w:t>
      </w:r>
    </w:p>
    <w:p w:rsidR="00755F69" w:rsidRPr="00755F69" w:rsidRDefault="00755F69" w:rsidP="00755F69">
      <w:pPr>
        <w:rPr>
          <w:sz w:val="28"/>
          <w:szCs w:val="28"/>
        </w:rPr>
      </w:pPr>
    </w:p>
    <w:p w:rsidR="00FD6333" w:rsidRPr="00755F69" w:rsidRDefault="00FD6333">
      <w:pPr>
        <w:rPr>
          <w:sz w:val="28"/>
          <w:szCs w:val="28"/>
        </w:rPr>
      </w:pPr>
    </w:p>
    <w:sectPr w:rsidR="00FD6333" w:rsidRPr="00755F69" w:rsidSect="00FD6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326E"/>
    <w:rsid w:val="003C659A"/>
    <w:rsid w:val="00755F69"/>
    <w:rsid w:val="009B1512"/>
    <w:rsid w:val="00AF67EE"/>
    <w:rsid w:val="00B628C4"/>
    <w:rsid w:val="00CB326E"/>
    <w:rsid w:val="00FD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26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 IVO</dc:creator>
  <cp:lastModifiedBy>Padre IVO</cp:lastModifiedBy>
  <cp:revision>2</cp:revision>
  <dcterms:created xsi:type="dcterms:W3CDTF">2020-11-20T21:17:00Z</dcterms:created>
  <dcterms:modified xsi:type="dcterms:W3CDTF">2020-11-20T21:17:00Z</dcterms:modified>
</cp:coreProperties>
</file>